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Relationships xmlns="http://schemas.openxmlformats.org/package/2006/relationships"><Relationship Id="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Fieldwork Coffee</w:t>
      </w:r>
    </w:p>
    <w:p>
      <w:pPr>
        <w:pStyle w:val="Subtitle"/>
      </w:pPr>
      <w:r>
        <w:t xml:space="preserve">Brand launch report · North Studio · 9 October 2026</w:t>
      </w:r>
    </w:p>
    <w:p>
      <w:pPr>
        <w:pStyle w:val="Heading1"/>
      </w:pPr>
      <w:r>
        <w:t xml:space="preserve">Ready for the next chapter</w:t>
      </w:r>
    </w:p>
    <w:p>
      <w:pPr>
        <w:pStyle w:val="Normal"/>
      </w:pPr>
      <w:r>
        <w:t xml:space="preserve">The new identity is ready for production. Customers recognized the forest-green packaging in our first shop trial, and staff found the revised menu easier to explain during the morning rush. The team is preparing the remaining shopfront and launch materials for 18 November.</w:t>
      </w:r>
    </w:p>
    <w:p>
      <w:pPr>
        <w:spacing w:after="180"/>
      </w:pPr>
      <w:r>
        <w:drawing>
          <wp:inline distT="0" distB="0" distL="0" distR="0">
            <wp:extent cx="3291840" cy="2194560"/>
            <wp:docPr id="1" name="Fieldwork packaging concept" descr="Forest-green coffee cup and cream coffee bag on a terracotta table"/>
            <a:graphic>
              <a:graphicData uri="http://schemas.openxmlformats.org/drawingml/2006/picture">
                <pic:pic>
                  <pic:nvPicPr>
                    <pic:cNvPr id="1" name="Fieldwork packaging"/>
                    <pic:cNvPicPr/>
                  </pic:nvPicPr>
                  <pic:blipFill>
                    <a:blip r:embed="image"/>
                    <a:stretch>
                      <a:fillRect/>
                    </a:stretch>
                  </pic:blipFill>
                  <pic:spPr>
                    <a:xfrm>
                      <a:off x="0" y="0"/>
                      <a:ext cx="3291840" cy="2194560"/>
                    </a:xfrm>
                    <a:prstGeom prst="rect">
                      <a:avLst/>
                    </a:prstGeom>
                  </pic:spPr>
                </pic:pic>
              </a:graphicData>
            </a:graphic>
          </wp:inline>
        </w:drawing>
      </w:r>
    </w:p>
    <w:p>
      <w:pPr>
        <w:pStyle w:val="Subtitle"/>
      </w:pPr>
      <w:r>
        <w:t xml:space="preserve">Packaging concept approved for the first production run.</w:t>
      </w:r>
    </w:p>
    <w:p>
      <w:pPr>
        <w:pStyle w:val="Heading1"/>
      </w:pPr>
      <w:r>
        <w:t xml:space="preserve">This month’s progress</w:t>
      </w:r>
    </w:p>
    <w:p>
      <w:pPr>
        <w:pStyle w:val="Normal"/>
        <w:numPr>
          <w:ilvl w:val="0"/>
          <w:numId w:val="1"/>
        </w:numPr>
      </w:pPr>
      <w:r>
        <w:t xml:space="preserve">Approved the cup, coffee bag and takeaway labels.</w:t>
      </w:r>
    </w:p>
    <w:p>
      <w:pPr>
        <w:pStyle w:val="Normal"/>
        <w:numPr>
          <w:ilvl w:val="0"/>
          <w:numId w:val="1"/>
        </w:numPr>
      </w:pPr>
      <w:r>
        <w:t xml:space="preserve">Tested menu readability with the café team.</w:t>
      </w:r>
    </w:p>
    <w:p>
      <w:pPr>
        <w:pStyle w:val="Normal"/>
        <w:numPr>
          <w:ilvl w:val="0"/>
          <w:numId w:val="1"/>
        </w:numPr>
      </w:pPr>
      <w:r>
        <w:t xml:space="preserve">Confirmed print specifications and supplier lead times.</w:t>
      </w:r>
    </w:p>
    <w:p>
      <w:pPr>
        <w:pStyle w:val="Heading1"/>
        <w:pageBreakBefore/>
      </w:pPr>
      <w:r>
        <w:t xml:space="preserve">Delivery plan</w:t>
      </w:r>
    </w:p>
    <w:p>
      <w:pPr>
        <w:pStyle w:val="Normal"/>
      </w:pPr>
      <w:r>
        <w:t xml:space="preserve">Each owner will confirm final artwork before the supplier deadline. The launch date includes one week for print checks and installation.</w:t>
      </w:r>
    </w:p>
    <w:tbl>
      <w:tblPr>
        <w:tblW w:w="10080" w:type="dxa"/>
        <w:tblLayout w:type="fixed"/>
        <w:tblBorders>
          <w:bottom w:val="single" w:sz="4" w:color="D6DEE8"/>
          <w:insideH w:val="single" w:sz="4" w:color="D6DEE8"/>
        </w:tblBorders>
        <w:tblCellMar>
          <w:top w:w="130" w:type="dxa"/>
          <w:left w:w="120" w:type="dxa"/>
          <w:bottom w:w="130" w:type="dxa"/>
          <w:right w:w="120" w:type="dxa"/>
        </w:tblCellMar>
      </w:tblPr>
      <w:tblGrid>
        <w:gridCol w:w="3600"/>
        <w:gridCol w:w="2200"/>
        <w:gridCol w:w="2200"/>
        <w:gridCol w:w="2080"/>
      </w:tblGrid>
      <w:tr>
        <w:tc>
          <w:tcPr>
            <w:tcW w:w="3600" w:type="dxa"/>
            <w:shd w:fill="EDF2F7"/>
          </w:tcPr>
          <w:p>
            <w:pPr>
              <w:pStyle w:val="TableHeader"/>
            </w:pPr>
            <w:r>
              <w:t xml:space="preserve">Deliverable</w:t>
            </w:r>
          </w:p>
        </w:tc>
        <w:tc>
          <w:tcPr>
            <w:tcW w:w="2200" w:type="dxa"/>
            <w:shd w:fill="EDF2F7"/>
          </w:tcPr>
          <w:p>
            <w:pPr>
              <w:pStyle w:val="TableHeader"/>
            </w:pPr>
            <w:r>
              <w:t xml:space="preserve">Owner</w:t>
            </w:r>
          </w:p>
        </w:tc>
        <w:tc>
          <w:tcPr>
            <w:tcW w:w="2200" w:type="dxa"/>
            <w:shd w:fill="EDF2F7"/>
          </w:tcPr>
          <w:p>
            <w:pPr>
              <w:pStyle w:val="TableHeader"/>
            </w:pPr>
            <w:r>
              <w:t xml:space="preserve">Due</w:t>
            </w:r>
          </w:p>
        </w:tc>
        <w:tc>
          <w:tcPr>
            <w:tcW w:w="2080" w:type="dxa"/>
            <w:shd w:fill="EDF2F7"/>
          </w:tcPr>
          <w:p>
            <w:pPr>
              <w:pStyle w:val="TableHeader"/>
            </w:pPr>
            <w:r>
              <w:t xml:space="preserve">Status</w:t>
            </w:r>
          </w:p>
        </w:tc>
      </w:tr>
      <w:tr>
        <w:tc>
          <w:tcPr>
            <w:tcW w:w="3600" w:type="dxa"/>
            <w:shd w:fill="FFFFFF"/>
          </w:tcPr>
          <w:p>
            <w:pPr>
              <w:pStyle w:val="TableText"/>
            </w:pPr>
            <w:r>
              <w:t xml:space="preserve">Identity &amp; packaging</w:t>
            </w:r>
          </w:p>
        </w:tc>
        <w:tc>
          <w:tcPr>
            <w:tcW w:w="2200" w:type="dxa"/>
            <w:shd w:fill="FFFFFF"/>
          </w:tcPr>
          <w:p>
            <w:pPr>
              <w:pStyle w:val="TableText"/>
            </w:pPr>
            <w:r>
              <w:t xml:space="preserve">Maya Chen</w:t>
            </w:r>
          </w:p>
        </w:tc>
        <w:tc>
          <w:tcPr>
            <w:tcW w:w="2200" w:type="dxa"/>
            <w:shd w:fill="FFFFFF"/>
          </w:tcPr>
          <w:p>
            <w:pPr>
              <w:pStyle w:val="TableText"/>
            </w:pPr>
            <w:r>
              <w:t xml:space="preserve">4 November</w:t>
            </w:r>
          </w:p>
        </w:tc>
        <w:tc>
          <w:tcPr>
            <w:tcW w:w="2080" w:type="dxa"/>
            <w:shd w:fill="FFFFFF"/>
          </w:tcPr>
          <w:p>
            <w:pPr>
              <w:pStyle w:val="TableText"/>
            </w:pPr>
            <w:r>
              <w:t xml:space="preserve">Approved</w:t>
            </w:r>
          </w:p>
        </w:tc>
      </w:tr>
      <w:tr>
        <w:tc>
          <w:tcPr>
            <w:tcW w:w="3600" w:type="dxa"/>
            <w:shd w:fill="FFFFFF"/>
          </w:tcPr>
          <w:p>
            <w:pPr>
              <w:pStyle w:val="TableText"/>
            </w:pPr>
            <w:r>
              <w:t xml:space="preserve">Shopfront &amp; menu</w:t>
            </w:r>
          </w:p>
        </w:tc>
        <w:tc>
          <w:tcPr>
            <w:tcW w:w="2200" w:type="dxa"/>
            <w:shd w:fill="FFFFFF"/>
          </w:tcPr>
          <w:p>
            <w:pPr>
              <w:pStyle w:val="TableText"/>
            </w:pPr>
            <w:r>
              <w:t xml:space="preserve">Eli Morgan</w:t>
            </w:r>
          </w:p>
        </w:tc>
        <w:tc>
          <w:tcPr>
            <w:tcW w:w="2200" w:type="dxa"/>
            <w:shd w:fill="FFFFFF"/>
          </w:tcPr>
          <w:p>
            <w:pPr>
              <w:pStyle w:val="TableText"/>
            </w:pPr>
            <w:r>
              <w:t xml:space="preserve">11 November</w:t>
            </w:r>
          </w:p>
        </w:tc>
        <w:tc>
          <w:tcPr>
            <w:tcW w:w="2080" w:type="dxa"/>
            <w:shd w:fill="FFFFFF"/>
          </w:tcPr>
          <w:p>
            <w:pPr>
              <w:pStyle w:val="TableText"/>
            </w:pPr>
            <w:r>
              <w:t xml:space="preserve">In progress</w:t>
            </w:r>
          </w:p>
        </w:tc>
      </w:tr>
      <w:tr>
        <w:tc>
          <w:tcPr>
            <w:tcW w:w="3600" w:type="dxa"/>
            <w:shd w:fill="FFFFFF"/>
          </w:tcPr>
          <w:p>
            <w:pPr>
              <w:pStyle w:val="TableText"/>
            </w:pPr>
            <w:r>
              <w:t xml:space="preserve">Launch-ready files</w:t>
            </w:r>
          </w:p>
        </w:tc>
        <w:tc>
          <w:tcPr>
            <w:tcW w:w="2200" w:type="dxa"/>
            <w:shd w:fill="FFFFFF"/>
          </w:tcPr>
          <w:p>
            <w:pPr>
              <w:pStyle w:val="TableText"/>
            </w:pPr>
            <w:r>
              <w:t xml:space="preserve">Noor Patel</w:t>
            </w:r>
          </w:p>
        </w:tc>
        <w:tc>
          <w:tcPr>
            <w:tcW w:w="2200" w:type="dxa"/>
            <w:shd w:fill="FFFFFF"/>
          </w:tcPr>
          <w:p>
            <w:pPr>
              <w:pStyle w:val="TableText"/>
            </w:pPr>
            <w:r>
              <w:t xml:space="preserve">18 November</w:t>
            </w:r>
          </w:p>
        </w:tc>
        <w:tc>
          <w:tcPr>
            <w:tcW w:w="2080" w:type="dxa"/>
            <w:shd w:fill="FFFFFF"/>
          </w:tcPr>
          <w:p>
            <w:pPr>
              <w:pStyle w:val="TableText"/>
            </w:pPr>
            <w:r>
              <w:t xml:space="preserve">Scheduled</w:t>
            </w:r>
          </w:p>
        </w:tc>
      </w:tr>
    </w:tbl>
    <w:p>
      <w:pPr>
        <w:pStyle w:val="Heading1"/>
      </w:pPr>
      <w:r>
        <w:t xml:space="preserve">Budget</w:t>
      </w:r>
    </w:p>
    <w:tbl>
      <w:tblPr>
        <w:tblW w:w="10080" w:type="dxa"/>
        <w:tblLayout w:type="fixed"/>
        <w:tblBorders>
          <w:bottom w:val="single" w:sz="4" w:color="D6DEE8"/>
          <w:insideH w:val="single" w:sz="4" w:color="D6DEE8"/>
        </w:tblBorders>
        <w:tblCellMar>
          <w:top w:w="130" w:type="dxa"/>
          <w:left w:w="120" w:type="dxa"/>
          <w:bottom w:w="130" w:type="dxa"/>
          <w:right w:w="120" w:type="dxa"/>
        </w:tblCellMar>
      </w:tblPr>
      <w:tblGrid>
        <w:gridCol w:w="7080"/>
        <w:gridCol w:w="3000"/>
      </w:tblGrid>
      <w:tr>
        <w:tc>
          <w:tcPr>
            <w:tcW w:w="7080" w:type="dxa"/>
            <w:shd w:fill="EDF2F7"/>
          </w:tcPr>
          <w:p>
            <w:pPr>
              <w:pStyle w:val="TableHeader"/>
            </w:pPr>
            <w:r>
              <w:t xml:space="preserve">Workstream</w:t>
            </w:r>
          </w:p>
        </w:tc>
        <w:tc>
          <w:tcPr>
            <w:tcW w:w="3000" w:type="dxa"/>
            <w:shd w:fill="EDF2F7"/>
          </w:tcPr>
          <w:p>
            <w:pPr>
              <w:pStyle w:val="TableHeader"/>
            </w:pPr>
            <w:r>
              <w:t xml:space="preserve">Agreed fee</w:t>
            </w:r>
          </w:p>
        </w:tc>
      </w:tr>
      <w:tr>
        <w:tc>
          <w:tcPr>
            <w:tcW w:w="7080" w:type="dxa"/>
            <w:shd w:fill="FFFFFF"/>
          </w:tcPr>
          <w:p>
            <w:pPr>
              <w:pStyle w:val="TableText"/>
            </w:pPr>
            <w:r>
              <w:t xml:space="preserve">Identity and packaging</w:t>
            </w:r>
          </w:p>
        </w:tc>
        <w:tc>
          <w:tcPr>
            <w:tcW w:w="3000" w:type="dxa"/>
            <w:shd w:fill="FFFFFF"/>
          </w:tcPr>
          <w:p>
            <w:pPr>
              <w:pStyle w:val="TableText"/>
            </w:pPr>
            <w:r>
              <w:t xml:space="preserve">$4,800</w:t>
            </w:r>
          </w:p>
        </w:tc>
      </w:tr>
      <w:tr>
        <w:tc>
          <w:tcPr>
            <w:tcW w:w="7080" w:type="dxa"/>
            <w:shd w:fill="FFFFFF"/>
          </w:tcPr>
          <w:p>
            <w:pPr>
              <w:pStyle w:val="TableText"/>
            </w:pPr>
            <w:r>
              <w:t xml:space="preserve">Shopfront and menu</w:t>
            </w:r>
          </w:p>
        </w:tc>
        <w:tc>
          <w:tcPr>
            <w:tcW w:w="3000" w:type="dxa"/>
            <w:shd w:fill="FFFFFF"/>
          </w:tcPr>
          <w:p>
            <w:pPr>
              <w:pStyle w:val="TableText"/>
            </w:pPr>
            <w:r>
              <w:t xml:space="preserve">$2,600</w:t>
            </w:r>
          </w:p>
        </w:tc>
      </w:tr>
      <w:tr>
        <w:tc>
          <w:tcPr>
            <w:tcW w:w="7080" w:type="dxa"/>
            <w:shd w:fill="FFFFFF"/>
          </w:tcPr>
          <w:p>
            <w:pPr>
              <w:pStyle w:val="TableText"/>
            </w:pPr>
            <w:r>
              <w:t xml:space="preserve">Production handoff</w:t>
            </w:r>
          </w:p>
        </w:tc>
        <w:tc>
          <w:tcPr>
            <w:tcW w:w="3000" w:type="dxa"/>
            <w:shd w:fill="FFFFFF"/>
          </w:tcPr>
          <w:p>
            <w:pPr>
              <w:pStyle w:val="TableText"/>
            </w:pPr>
            <w:r>
              <w:t xml:space="preserve">$1,200</w:t>
            </w:r>
          </w:p>
        </w:tc>
      </w:tr>
      <w:tr>
        <w:tc>
          <w:tcPr>
            <w:tcW w:w="7080" w:type="dxa"/>
            <w:shd w:fill="FFFFFF"/>
          </w:tcPr>
          <w:p>
            <w:pPr>
              <w:pStyle w:val="TableText"/>
            </w:pPr>
            <w:r>
              <w:t xml:space="preserve">Total project fee</w:t>
            </w:r>
          </w:p>
        </w:tc>
        <w:tc>
          <w:tcPr>
            <w:tcW w:w="3000" w:type="dxa"/>
            <w:shd w:fill="FFFFFF"/>
          </w:tcPr>
          <w:p>
            <w:pPr>
              <w:pStyle w:val="TableText"/>
            </w:pPr>
            <w:r>
              <w:t xml:space="preserve">$8,600</w:t>
            </w:r>
          </w:p>
        </w:tc>
      </w:tr>
    </w:tbl>
    <w:p>
      <w:pPr>
        <w:pStyle w:val="Heading1"/>
      </w:pPr>
      <w:r>
        <w:t xml:space="preserve">Decisions for the client</w:t>
      </w:r>
    </w:p>
    <w:p>
      <w:pPr>
        <w:pStyle w:val="Normal"/>
        <w:numPr>
          <w:ilvl w:val="0"/>
          <w:numId w:val="1"/>
        </w:numPr>
      </w:pPr>
      <w:r>
        <w:t xml:space="preserve">Confirm the final seasonal drink names by 16 October.</w:t>
      </w:r>
    </w:p>
    <w:p>
      <w:pPr>
        <w:pStyle w:val="Normal"/>
        <w:numPr>
          <w:ilvl w:val="0"/>
          <w:numId w:val="1"/>
        </w:numPr>
      </w:pPr>
      <w:r>
        <w:t xml:space="preserve">Approve the shopfront installation window for 12 November.</w:t>
      </w:r>
    </w:p>
    <w:p>
      <w:pPr>
        <w:pStyle w:val="Normal"/>
        <w:numPr>
          <w:ilvl w:val="0"/>
          <w:numId w:val="1"/>
        </w:numPr>
      </w:pPr>
      <w:r>
        <w:t xml:space="preserve">Nominate a staff contact for the production handoff.</w:t>
      </w:r>
    </w:p>
    <w:p>
      <w:pPr>
        <w:pStyle w:val="Heading1"/>
      </w:pPr>
      <w:r>
        <w:t xml:space="preserve">Next review</w:t>
      </w:r>
    </w:p>
    <w:p>
      <w:pPr>
        <w:pStyle w:val="Normal"/>
      </w:pPr>
      <w:r>
        <w:t xml:space="preserve">We will review print proofs with the Fieldwork team on 23 October. Maya will circulate the proof pack two working days before the meeting. Any changes to quantities will be confirmed with the supplier before production starts.</w:t>
      </w:r>
    </w:p>
    <w:sectPr>
      <w:footerReference w:type="default" r:id="footer"/>
      <w:pgSz w:w="12240" w:h="15840"/>
      <w:pgMar w:top="1080" w:right="1080" w:bottom="1080" w:left="1080" w:header="540" w:footer="540"/>
    </w:sectPr>
  </w:body>
</w:document>
</file>

<file path=word/footer1.xml><?xml version="1.0" encoding="utf-8"?>
<w:ftr xmlns:w="http://schemas.openxmlformats.org/wordprocessingml/2006/main">
  <w:p>
    <w:pPr>
      <w:jc w:val="right"/>
    </w:pPr>
    <w:r>
      <w:rPr>
        <w:sz w:val="18"/>
        <w:color w:val="65768A"/>
      </w:rPr>
      <w:t>Fieldwork Coffee | Launch report  ·  </w:t>
    </w:r>
    <w:fldSimple w:instr="PAGE">
      <w:r>
        <w:t>1</w:t>
      </w:r>
    </w:fldSimple>
  </w:p>
</w:ftr>
</file>

<file path=word/numbering.xml><?xml version="1.0" encoding="utf-8"?>
<w:numbering xmlns:w="http://schemas.openxmlformats.org/wordprocessingml/2006/main">
  <w:abstractNum w:abstractNumId="0">
    <w:multiLevelType w:val="singleLevel"/>
    <w:lvl w:ilvl="0">
      <w:start w:val="1"/>
      <w:numFmt w:val="bullet"/>
      <w:lvlText w:val="•"/>
      <w:lvlJc w:val="left"/>
      <w:pPr>
        <w:tabs>
          <w:tab w:val="num" w:pos="360"/>
        </w:tabs>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sz w:val="22"/>
        <w:color w:val="293847"/>
      </w:rPr>
    </w:rPrDefault>
    <w:pPrDefault>
      <w:pPr>
        <w:spacing w:after="140" w:line="270" w:lineRule="auto"/>
      </w:pPr>
    </w:pPrDefault>
  </w:docDefaults>
  <w:style w:type="paragraph" w:default="1" w:styleId="Normal">
    <w:name w:val="Normal"/>
  </w:style>
  <w:style w:type="paragraph" w:styleId="Title">
    <w:name w:val="Title"/>
    <w:basedOn w:val="Normal"/>
    <w:pPr>
      <w:keepNext/>
      <w:spacing w:before="80" w:after="140"/>
    </w:pPr>
    <w:rPr>
      <w:sz w:val="52"/>
      <w:b/>
    </w:rPr>
  </w:style>
  <w:style w:type="paragraph" w:styleId="Subtitle">
    <w:name w:val="Subtitle"/>
    <w:basedOn w:val="Normal"/>
    <w:pPr>
      <w:spacing w:after="300"/>
    </w:pPr>
    <w:rPr>
      <w:color w:val="5F7083"/>
      <w:sz w:val="22"/>
    </w:rPr>
  </w:style>
  <w:style w:type="paragraph" w:styleId="Heading1">
    <w:name w:val="Heading 1"/>
    <w:basedOn w:val="Normal"/>
    <w:pPr>
      <w:keepNext/>
      <w:outlineLvl w:val="0"/>
      <w:spacing w:before="260" w:after="140"/>
    </w:pPr>
    <w:rPr>
      <w:b/>
      <w:sz w:val="30"/>
      <w:color w:val="24675A"/>
    </w:rPr>
  </w:style>
  <w:style w:type="paragraph" w:styleId="TableText">
    <w:name w:val="Table text"/>
    <w:basedOn w:val="Normal"/>
    <w:pPr>
      <w:spacing w:after="0"/>
    </w:pPr>
    <w:rPr>
      <w:sz w:val="20"/>
    </w:rPr>
  </w:style>
  <w:style w:type="paragraph" w:styleId="TableHeader">
    <w:name w:val="Table header"/>
    <w:basedOn w:val="TableText"/>
    <w:rPr>
      <w:b/>
    </w:rPr>
  </w:style>
</w:styles>
</file>

<file path=word/_rels/document.xml.rels><Relationships xmlns="http://schemas.openxmlformats.org/package/2006/relationships"><Relationship Id="styles" Type="http://schemas.openxmlformats.org/officeDocument/2006/relationships/styles" Target="styles.xml"/><Relationship Id="numbering" Type="http://schemas.openxmlformats.org/officeDocument/2006/relationships/numbering" Target="numbering.xml"/><Relationship Id="footer" Type="http://schemas.openxmlformats.org/officeDocument/2006/relationships/footer" Target="footer1.xml"/><Relationship Id="image" Type="http://schemas.openxmlformats.org/officeDocument/2006/relationships/image" Target="media/fieldwork.png"/></Relationships>
</file>